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17"/>
    <w:p>
      <w:pPr>
        <w:pStyle w:val="Heading1"/>
      </w:pPr>
      <w:r>
        <w:t xml:space="preserve">Homiletics Analysis: 1 Samuel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17 is one of the most fully narrated episodes in all of Scripture — a deliberately expansive, cinematically paced account of Israel’s confrontation with the Philistine champion Goliath and David’s unexpected victory over him. The narrator slows the action at every significant moment: Goliath’s size and armor are catalogued with extraordinary precision (vv. 4–7); his taunting challenge is quoted at length (vv. 8–10); Israel’s fear is underscored (vv. 11, 24); David’s arrival, his inquiry, and the growing hostility of his brothers are narrated with social texture (vv. 17–30); Saul’s inadequate armor is tried and discarded (vv. 38–39); David’s sling-and-stone approach is set against Goliath’s contemptuous dismissal (vv. 41–44); and David’s speech before the killing blow is given in full (vv. 45–47). The chapter moves from national paralysis to individual faith to decisive victory, and the narrator wants the reader to feel every step of that movement.</w:t>
      </w:r>
    </w:p>
    <w:p>
      <w:pPr>
        <w:pStyle w:val="BodyText"/>
      </w:pPr>
      <w:r>
        <w:t xml:space="preserve">The structural architecture of the chapter is significant. Israel and Goliath are introduced in terms of military stalemate — Goliath occupies the space between the armies and Israel cannot answer him. David enters this vacuum not as a trained warrior but as a shepherd boy running an errand. His qualification for the contest is not physical or martial but covenantal: he has learned in the fields, tending sheep, that the LORD delivers when no human resource is adequate. The pivot of the entire chapter is David’s speech in verses 45–47, which is simultaneously a battle declaration and a theological confession. The battle is not between David and Goliath; it is between the LORD of hosts and the defiant nations. David is the instrument; the LORD is the actor; and the purpose is that</w:t>
      </w:r>
      <w:r>
        <w:t xml:space="preserve"> </w:t>
      </w:r>
      <w:r>
        <w:t xml:space="preserve">“all the earth may know that there is a God in Israel”</w:t>
      </w:r>
      <w:r>
        <w:t xml:space="preserve"> </w:t>
      </w:r>
      <w:r>
        <w:t xml:space="preserve">(v. 46) and that</w:t>
      </w:r>
      <w:r>
        <w:t xml:space="preserve"> </w:t>
      </w:r>
      <w:r>
        <w:t xml:space="preserve">“the LORD saves not with sword and spear”</w:t>
      </w:r>
      <w:r>
        <w:t xml:space="preserve"> </w:t>
      </w:r>
      <w:r>
        <w:t xml:space="preserve">(v. 47).</w:t>
      </w:r>
    </w:p>
    <w:p>
      <w:pPr>
        <w:pStyle w:val="BodyText"/>
      </w:pPr>
      <w:r>
        <w:rPr>
          <w:b/>
          <w:bCs/>
        </w:rPr>
        <w:t xml:space="preserve">This Text — Intent</w:t>
      </w:r>
    </w:p>
    <w:p>
      <w:pPr>
        <w:pStyle w:val="BodyText"/>
      </w:pPr>
      <w:r>
        <w:t xml:space="preserve">God intends this passage to reorient the reader’s understanding of what constitutes genuine strength and adequate resources in the face of overwhelming opposition. The chapter is not primarily about David’s courage — it is about the LORD’s character as the God who saves through the weak things of the world in order to display His own glory. The reader who encounters this text is meant to come away not simply inspired by David’s bravery, but repositioned in their own understanding of where real power lies. God is seeking to displace the reader’s default calculus — the intuition that adequate resources, visible strength, and favorable odds are prerequisites for confidence — and replace it with a covenantal confidence grounded entirely in the character and commitment of the LORD of hosts. The intent is both diagnostic (exposing the fear-calculus by which Saul and Israel were living) and reconstructive (offering David’s theological vision as the alternative). The reader is meant to ask not</w:t>
      </w:r>
      <w:r>
        <w:t xml:space="preserve"> </w:t>
      </w:r>
      <w:r>
        <w:t xml:space="preserve">“am I as brave as David?”</w:t>
      </w:r>
      <w:r>
        <w:t xml:space="preserve"> </w:t>
      </w:r>
      <w:r>
        <w:t xml:space="preserve">but</w:t>
      </w:r>
      <w:r>
        <w:t xml:space="preserve"> </w:t>
      </w:r>
      <w:r>
        <w:t xml:space="preserve">“do I know the LORD the way David knew Him?”</w:t>
      </w:r>
    </w:p>
    <w:p>
      <w:r>
        <w:pict>
          <v:rect style="width:0;height:1.5pt" o:hralign="center" o:hrstd="t" o:hr="t"/>
        </w:pict>
      </w:r>
    </w:p>
    <w:p>
      <w:pPr>
        <w:pStyle w:val="FirstParagraph"/>
      </w:pPr>
      <w:r>
        <w:rPr>
          <w:b/>
          <w:bCs/>
        </w:rPr>
        <w:t xml:space="preserve">Subject Sentence:</w:t>
      </w:r>
    </w:p>
    <w:p>
      <w:pPr>
        <w:pStyle w:val="BodyText"/>
      </w:pPr>
      <w:r>
        <w:t xml:space="preserve">The LORD of hosts defeats the defiant enemy through the weak instrument who knows Him — for the display of His own glory.</w:t>
      </w:r>
    </w:p>
    <w:p>
      <w:r>
        <w:pict>
          <v:rect style="width:0;height:1.5pt" o:hralign="center" o:hrstd="t" o:hr="t"/>
        </w:pict>
      </w:r>
    </w:p>
    <w:p>
      <w:pPr>
        <w:pStyle w:val="FirstParagraph"/>
      </w:pPr>
      <w:r>
        <w:rPr>
          <w:b/>
          <w:bCs/>
        </w:rPr>
        <w:t xml:space="preserve">Primary Claim:</w:t>
      </w:r>
    </w:p>
    <w:p>
      <w:pPr>
        <w:pStyle w:val="BodyText"/>
      </w:pPr>
      <w:r>
        <w:t xml:space="preserve">God is calling His people to abandon the fear-calculus of visible strength and to stand in covenantal confidence before every Goliath — because the LORD of hosts has already declared the outcome, and the battle belongs to Him, not to us.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Christological Reading — David as Type of Christ</w:t>
      </w:r>
    </w:p>
    <w:p>
      <w:pPr>
        <w:pStyle w:val="BodyText"/>
      </w:pPr>
      <w:r>
        <w:t xml:space="preserve">The most significant interpretive question in 1 Samuel 17 for Christian exposition is the typological one: in what sense, and to what degree, does David function as a type of Christ here? The answer materially shapes how the passage is applied. Two errors bracket the correct answer. The first is the moralistic error — treating David simply as a heroic example and the passage as a call to personal bravery (</w:t>
      </w:r>
      <w:r>
        <w:t xml:space="preserve">“be like David, face your giants”</w:t>
      </w:r>
      <w:r>
        <w:t xml:space="preserve">). The second error is a kind of typological overcorrection — collapsing David so completely into Christ that the human element of faith and action disappears, leaving the reader with no place to stand in the narrative except as passive spectator.</w:t>
      </w:r>
    </w:p>
    <w:p>
      <w:pPr>
        <w:pStyle w:val="BodyText"/>
      </w:pPr>
      <w:r>
        <w:t xml:space="preserve">The Reformed and redemptive-historical reading navigates between these errors. David is genuinely a type of Christ: an anointed servant (recently anointed, 1 Samuel 16) who enters a battle his people cannot win, defeats the champion of the enemy through means the world would not expect, and secures the victory on behalf of those who could not secure it for themselves. This typological structure is real and should be stated. But the typological reading does not eliminate the exemplary function — David’s</w:t>
      </w:r>
      <w:r>
        <w:t xml:space="preserve"> </w:t>
      </w:r>
      <w:r>
        <w:rPr>
          <w:i/>
          <w:iCs/>
        </w:rPr>
        <w:t xml:space="preserve">faith</w:t>
      </w:r>
      <w:r>
        <w:t xml:space="preserve"> </w:t>
      </w:r>
      <w:r>
        <w:t xml:space="preserve">is explicitly presented by the narrator as the decisive qualification, and the New Testament does not hesitate to hold up Old Testament believers as examples of faith (Hebrews 11). The synthesis is: David is a type of Christ in his</w:t>
      </w:r>
      <w:r>
        <w:t xml:space="preserve"> </w:t>
      </w:r>
      <w:r>
        <w:rPr>
          <w:i/>
          <w:iCs/>
        </w:rPr>
        <w:t xml:space="preserve">role</w:t>
      </w:r>
      <w:r>
        <w:t xml:space="preserve"> </w:t>
      </w:r>
      <w:r>
        <w:t xml:space="preserve">(representative champion who wins the battle for his people), but the passage also calls the reader to share David’s</w:t>
      </w:r>
      <w:r>
        <w:t xml:space="preserve"> </w:t>
      </w:r>
      <w:r>
        <w:rPr>
          <w:i/>
          <w:iCs/>
        </w:rPr>
        <w:t xml:space="preserve">disposition</w:t>
      </w:r>
      <w:r>
        <w:t xml:space="preserve"> </w:t>
      </w:r>
      <w:r>
        <w:t xml:space="preserve">(covenantal confidence in the LORD of hosts, grounded in a history of God’s faithfulness). The application is not</w:t>
      </w:r>
      <w:r>
        <w:t xml:space="preserve"> </w:t>
      </w:r>
      <w:r>
        <w:t xml:space="preserve">“be as brave as David”</w:t>
      </w:r>
      <w:r>
        <w:t xml:space="preserve"> </w:t>
      </w:r>
      <w:r>
        <w:t xml:space="preserve">but</w:t>
      </w:r>
      <w:r>
        <w:t xml:space="preserve"> </w:t>
      </w:r>
      <w:r>
        <w:t xml:space="preserve">“know the LORD as David knew Him — and let that knowledge produce the same un-intimidated confidence.”</w:t>
      </w:r>
    </w:p>
    <w:p>
      <w:pPr>
        <w:pStyle w:val="BodyText"/>
      </w:pPr>
      <w:r>
        <w:t xml:space="preserve">The Reformed verdict: the typological and exemplary readings are not mutually exclusive. State the typological structure, ground the application in it, and then derive the call to covenantal confidence from the same source David drew from — the character and faithfulness of the LORD.</w:t>
      </w:r>
    </w:p>
    <w:p>
      <w:pPr>
        <w:pStyle w:val="BodyText"/>
      </w:pPr>
      <w:r>
        <w:rPr>
          <w:b/>
          <w:bCs/>
        </w:rPr>
        <w:t xml:space="preserve">The Moralistic Reading —</w:t>
      </w:r>
      <w:r>
        <w:rPr>
          <w:b/>
          <w:bCs/>
        </w:rPr>
        <w:t xml:space="preserve"> </w:t>
      </w:r>
      <w:r>
        <w:rPr>
          <w:b/>
          <w:bCs/>
        </w:rPr>
        <w:t xml:space="preserve">“Facing Your Giants”</w:t>
      </w:r>
    </w:p>
    <w:p>
      <w:pPr>
        <w:pStyle w:val="BodyText"/>
      </w:pPr>
      <w:r>
        <w:t xml:space="preserve">The most common homiletical mishandling of 1 Samuel 17 is the reduction of the passage to a self-help narrative. In this reading, Goliath becomes a metaphor for any large problem the reader faces, and the sermon’s burden is to encourage the hearer to summon David’s courage and go face their giants. This reading is not entirely without textual contact — David does face a giant, and faith is clearly involved — but it systematically distorts the passage in the following ways: (1) it relocates agency from the LORD to the human, making David’s courage the operative factor rather than David’s covenantal knowledge; (2) it detaches the application from the theological content of David’s speech (vv. 45–47), which is the passage’s interpretive center; (3) it produces an application that is functionally identical to secular self-improvement literature, with</w:t>
      </w:r>
      <w:r>
        <w:t xml:space="preserve"> </w:t>
      </w:r>
      <w:r>
        <w:t xml:space="preserve">“God”</w:t>
      </w:r>
      <w:r>
        <w:t xml:space="preserve"> </w:t>
      </w:r>
      <w:r>
        <w:t xml:space="preserve">inserted as an encouraging coach rather than as the sovereign actor in the battle; and (4) it bypasses the typological dimension entirely, leaving the reader with no gospel and no Christ.</w:t>
      </w:r>
    </w:p>
    <w:p>
      <w:pPr>
        <w:pStyle w:val="BodyText"/>
      </w:pPr>
      <w:r>
        <w:t xml:space="preserve">This reading must be refuted, not merely qualified. The text will not support it. David’s confidence is not generated from within — it is derived from a track record of the LORD’s intervention (vv. 34–37). The application to</w:t>
      </w:r>
      <w:r>
        <w:t xml:space="preserve"> </w:t>
      </w:r>
      <w:r>
        <w:t xml:space="preserve">“face your giants”</w:t>
      </w:r>
      <w:r>
        <w:t xml:space="preserve"> </w:t>
      </w:r>
      <w:r>
        <w:t xml:space="preserve">without grounding that confidence in the character of the LORD and in Christ’s prior victory produces a sermonic burden that the text is specifically designed to remove, not impose.</w:t>
      </w:r>
    </w:p>
    <w:p>
      <w:pPr>
        <w:pStyle w:val="BodyText"/>
      </w:pPr>
      <w:r>
        <w:rPr>
          <w:b/>
          <w:bCs/>
        </w:rPr>
        <w:t xml:space="preserve">The Dispensational and Israel-Church Reading</w:t>
      </w:r>
    </w:p>
    <w:p>
      <w:pPr>
        <w:pStyle w:val="BodyText"/>
      </w:pPr>
      <w:r>
        <w:t xml:space="preserve">Some dispensational readers are cautious about transferring the covenant dynamics of 1 Samuel 17 to the church, since Israel’s national military experience is understood as operating under a distinct covenant arrangement. This caution is noted. However, the theological core of 1 Samuel 17 — that the LORD of hosts saves through the weak instrument who trusts Him, for the display of His glory — is not peculiar to the Mosaic covenant’s national-military application. Paul explicitly draws on this same logic in 1 Corinthians 1:26–31 (</w:t>
      </w:r>
      <w:r>
        <w:t xml:space="preserve">“God chose what is weak in the world to shame the strong… so that no human being might boast in the presence of God”</w:t>
      </w:r>
      <w:r>
        <w:t xml:space="preserve">). The principle operates across the canon. The Reformed reading applies the passage’s theological claim directly to the church without difficulty, while acknowledging that the specific military-national context is historically particular to Israel.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Corinthians 1:26–31</w:t>
      </w:r>
      <w:r>
        <w:t xml:space="preserve"> </w:t>
      </w:r>
      <w:r>
        <w:t xml:space="preserve">— Paul’s direct theological parallel: God chooses the weak and foolish to shame the strong, so that no flesh may boast before Him. This is the clearest New Testament exposition of the theological logic operative in 1 Samuel 17, and it grounds the passage’s claim in the cross itself.</w:t>
      </w:r>
    </w:p>
    <w:p>
      <w:pPr>
        <w:numPr>
          <w:ilvl w:val="0"/>
          <w:numId w:val="1001"/>
        </w:numPr>
      </w:pPr>
      <w:r>
        <w:rPr>
          <w:b/>
          <w:bCs/>
        </w:rPr>
        <w:t xml:space="preserve">Psalm 20:7</w:t>
      </w:r>
      <w:r>
        <w:t xml:space="preserve"> </w:t>
      </w:r>
      <w:r>
        <w:t xml:space="preserve">—</w:t>
      </w:r>
      <w:r>
        <w:t xml:space="preserve"> </w:t>
      </w:r>
      <w:r>
        <w:t xml:space="preserve">“Some trust in chariots and some in horses, but we trust in the name of the LORD our God.”</w:t>
      </w:r>
      <w:r>
        <w:t xml:space="preserve"> </w:t>
      </w:r>
      <w:r>
        <w:t xml:space="preserve">The Psalm crystallizes the covenantal contrast David embodies — visible military strength versus the name of the LORD — and is likely drawn from the same covenant tradition David inhabited.</w:t>
      </w:r>
    </w:p>
    <w:p>
      <w:pPr>
        <w:numPr>
          <w:ilvl w:val="0"/>
          <w:numId w:val="1001"/>
        </w:numPr>
      </w:pPr>
      <w:r>
        <w:rPr>
          <w:b/>
          <w:bCs/>
        </w:rPr>
        <w:t xml:space="preserve">2 Corinthians 12:9–10</w:t>
      </w:r>
      <w:r>
        <w:t xml:space="preserve"> </w:t>
      </w:r>
      <w:r>
        <w:t xml:space="preserve">—</w:t>
      </w:r>
      <w:r>
        <w:t xml:space="preserve"> </w:t>
      </w:r>
      <w:r>
        <w:t xml:space="preserve">“My power is made perfect in weakness… for when I am weak, then I am strong.”</w:t>
      </w:r>
      <w:r>
        <w:t xml:space="preserve"> </w:t>
      </w:r>
      <w:r>
        <w:t xml:space="preserve">The cruciform logic Paul articulates is the New Covenant restatement of the same principle: God’s strength is displayed precisely through human inadequacy, not despite it.</w:t>
      </w:r>
    </w:p>
    <w:p>
      <w:pPr>
        <w:numPr>
          <w:ilvl w:val="0"/>
          <w:numId w:val="1001"/>
        </w:numPr>
      </w:pPr>
      <w:r>
        <w:rPr>
          <w:b/>
          <w:bCs/>
        </w:rPr>
        <w:t xml:space="preserve">Hebrews 11:32–34</w:t>
      </w:r>
      <w:r>
        <w:t xml:space="preserve"> </w:t>
      </w:r>
      <w:r>
        <w:t xml:space="preserve">— David is included in the roll of those whose faith</w:t>
      </w:r>
      <w:r>
        <w:t xml:space="preserve"> </w:t>
      </w:r>
      <w:r>
        <w:t xml:space="preserve">“conquered kingdoms… stopped the mouths of lions… became mighty in war.”</w:t>
      </w:r>
      <w:r>
        <w:t xml:space="preserve"> </w:t>
      </w:r>
      <w:r>
        <w:t xml:space="preserve">The New Testament explicitly holds up the faith-disposition of figures like David as exemplary — confirming that the exemplary reading of 1 Samuel 17 is legitimate alongside the typological reading.</w:t>
      </w:r>
    </w:p>
    <w:p>
      <w:pPr>
        <w:numPr>
          <w:ilvl w:val="0"/>
          <w:numId w:val="1001"/>
        </w:numPr>
      </w:pPr>
      <w:r>
        <w:rPr>
          <w:b/>
          <w:bCs/>
        </w:rPr>
        <w:t xml:space="preserve">1 Samuel 16:7</w:t>
      </w:r>
      <w:r>
        <w:t xml:space="preserve"> </w:t>
      </w:r>
      <w:r>
        <w:t xml:space="preserve">—</w:t>
      </w:r>
      <w:r>
        <w:t xml:space="preserve"> </w:t>
      </w:r>
      <w:r>
        <w:t xml:space="preserve">“The LORD sees not as man sees: man looks on the outward appearance, but the LORD looks on the heart.”</w:t>
      </w:r>
      <w:r>
        <w:t xml:space="preserve"> </w:t>
      </w:r>
      <w:r>
        <w:t xml:space="preserve">Set immediately before chapter 17, this verse establishes the interpretive lens through which all of David’s apparent inadequacy must be read. What appears to be weakness by human assessment is precisely the vessel through which the LORD works.</w:t>
      </w:r>
    </w:p>
    <w:p>
      <w:r>
        <w:pict>
          <v:rect style="width:0;height:1.5pt" o:hralign="center" o:hrstd="t" o:hr="t"/>
        </w:pict>
      </w:r>
    </w:p>
    <w:p>
      <w:pPr>
        <w:pStyle w:val="FirstParagraph"/>
      </w:pPr>
      <w:r>
        <w:rPr>
          <w:b/>
          <w:bCs/>
        </w:rPr>
        <w:t xml:space="preserve">Aim:</w:t>
      </w:r>
    </w:p>
    <w:p>
      <w:pPr>
        <w:pStyle w:val="BodyText"/>
      </w:pPr>
      <w:r>
        <w:t xml:space="preserve">To displace the fear-calculus of visible strength by which God’s people instinctively live, and to reestablish covenantal confidence in the LORD of hosts as the only adequate basis for courage in the face of overwhelming opposition.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Philistines and Israel deploy for battle; armies face each other across the Valley of Elah</w:t>
            </w:r>
          </w:p>
        </w:tc>
        <w:tc>
          <w:tcPr/>
          <w:p>
            <w:pPr>
              <w:pStyle w:val="Compact"/>
            </w:pPr>
            <w:r>
              <w:t xml:space="preserve">Geographic and military staging; stalemate is immediate — neither side advances</w:t>
            </w:r>
          </w:p>
        </w:tc>
      </w:tr>
      <w:tr>
        <w:tc>
          <w:tcPr/>
          <w:p>
            <w:pPr>
              <w:pStyle w:val="Compact"/>
            </w:pPr>
            <w:r>
              <w:t xml:space="preserve">4–7</w:t>
            </w:r>
          </w:p>
        </w:tc>
        <w:tc>
          <w:tcPr/>
          <w:p>
            <w:pPr>
              <w:pStyle w:val="Compact"/>
            </w:pPr>
            <w:r>
              <w:t xml:space="preserve">Goliath of Gath is introduced — his height (six cubits and a span), armor (coat of mail, bronze helmet, greaves, javelin), and challenge</w:t>
            </w:r>
          </w:p>
        </w:tc>
        <w:tc>
          <w:tcPr/>
          <w:p>
            <w:pPr>
              <w:pStyle w:val="Compact"/>
            </w:pPr>
            <w:r>
              <w:t xml:space="preserve">The detailed inventory of Goliath’s armor is not incidental — it underscores the human impossibility of the situation; readers are meant to feel the weight before they feel the contrast</w:t>
            </w:r>
          </w:p>
        </w:tc>
      </w:tr>
      <w:tr>
        <w:tc>
          <w:tcPr/>
          <w:p>
            <w:pPr>
              <w:pStyle w:val="Compact"/>
            </w:pPr>
            <w:r>
              <w:t xml:space="preserve">8–10</w:t>
            </w:r>
          </w:p>
        </w:tc>
        <w:tc>
          <w:tcPr/>
          <w:p>
            <w:pPr>
              <w:pStyle w:val="Compact"/>
            </w:pPr>
            <w:r>
              <w:t xml:space="preserve">Goliath issues his formal challenge: send a man to fight me; the winner’s side wins the war</w:t>
            </w:r>
          </w:p>
        </w:tc>
        <w:tc>
          <w:tcPr/>
          <w:p>
            <w:pPr>
              <w:pStyle w:val="Compact"/>
            </w:pPr>
            <w:r>
              <w:t xml:space="preserve">The challenge is a standard ancient Near Eastern champion-combat formula; it reveals that this battle is representative — one man fights on behalf of all</w:t>
            </w:r>
          </w:p>
        </w:tc>
      </w:tr>
      <w:tr>
        <w:tc>
          <w:tcPr/>
          <w:p>
            <w:pPr>
              <w:pStyle w:val="Compact"/>
            </w:pPr>
            <w:r>
              <w:t xml:space="preserve">11</w:t>
            </w:r>
          </w:p>
        </w:tc>
        <w:tc>
          <w:tcPr/>
          <w:p>
            <w:pPr>
              <w:pStyle w:val="Compact"/>
            </w:pPr>
            <w:r>
              <w:t xml:space="preserve">Saul and all Israel hear the challenge and</w:t>
            </w:r>
            <w:r>
              <w:t xml:space="preserve"> </w:t>
            </w:r>
            <w:r>
              <w:t xml:space="preserve">“were dismayed and greatly afraid”</w:t>
            </w:r>
          </w:p>
        </w:tc>
        <w:tc>
          <w:tcPr/>
          <w:p>
            <w:pPr>
              <w:pStyle w:val="Compact"/>
            </w:pPr>
            <w:r>
              <w:t xml:space="preserve">The narrator explicitly names the fear that will recur; Saul’s failure here echoes his character throughout 1 Samuel</w:t>
            </w:r>
          </w:p>
        </w:tc>
      </w:tr>
      <w:tr>
        <w:tc>
          <w:tcPr/>
          <w:p>
            <w:pPr>
              <w:pStyle w:val="Compact"/>
            </w:pPr>
            <w:r>
              <w:t xml:space="preserve">12–19</w:t>
            </w:r>
          </w:p>
        </w:tc>
        <w:tc>
          <w:tcPr/>
          <w:p>
            <w:pPr>
              <w:pStyle w:val="Compact"/>
            </w:pPr>
            <w:r>
              <w:t xml:space="preserve">David’s family background; his three oldest brothers are with Saul’s army; Jesse sends David with provisions and a commission to check on his brothers</w:t>
            </w:r>
          </w:p>
        </w:tc>
        <w:tc>
          <w:tcPr/>
          <w:p>
            <w:pPr>
              <w:pStyle w:val="Compact"/>
            </w:pPr>
            <w:r>
              <w:t xml:space="preserve">The narrative slows deliberately to introduce David through his lowly role — errand-runner, youngest son, shepherd</w:t>
            </w:r>
          </w:p>
        </w:tc>
      </w:tr>
      <w:tr>
        <w:tc>
          <w:tcPr/>
          <w:p>
            <w:pPr>
              <w:pStyle w:val="Compact"/>
            </w:pPr>
            <w:r>
              <w:t xml:space="preserve">20–23</w:t>
            </w:r>
          </w:p>
        </w:tc>
        <w:tc>
          <w:tcPr/>
          <w:p>
            <w:pPr>
              <w:pStyle w:val="Compact"/>
            </w:pPr>
            <w:r>
              <w:t xml:space="preserve">David arrives at the camp, leaves his provisions with the keeper, runs to the battle line, and greets his brothers — at which point Goliath appears again and issues the same challenge</w:t>
            </w:r>
          </w:p>
        </w:tc>
        <w:tc>
          <w:tcPr/>
          <w:p>
            <w:pPr>
              <w:pStyle w:val="Compact"/>
            </w:pPr>
            <w:r>
              <w:t xml:space="preserve">The repetition of Goliath’s challenge (v. 23) is structural; it sets up David’s response in contrast to Israel’s</w:t>
            </w:r>
          </w:p>
        </w:tc>
      </w:tr>
      <w:tr>
        <w:tc>
          <w:tcPr/>
          <w:p>
            <w:pPr>
              <w:pStyle w:val="Compact"/>
            </w:pPr>
            <w:r>
              <w:t xml:space="preserve">24</w:t>
            </w:r>
          </w:p>
        </w:tc>
        <w:tc>
          <w:tcPr/>
          <w:p>
            <w:pPr>
              <w:pStyle w:val="Compact"/>
            </w:pPr>
            <w:r>
              <w:t xml:space="preserve">“All the men of Israel, when they saw the man, fled from him and were much afraid”</w:t>
            </w:r>
          </w:p>
        </w:tc>
        <w:tc>
          <w:tcPr/>
          <w:p>
            <w:pPr>
              <w:pStyle w:val="Compact"/>
            </w:pPr>
            <w:r>
              <w:t xml:space="preserve">The narrator again underscores the collective fear — and David’s coming response will be all the more striking for it</w:t>
            </w:r>
          </w:p>
        </w:tc>
      </w:tr>
      <w:tr>
        <w:tc>
          <w:tcPr/>
          <w:p>
            <w:pPr>
              <w:pStyle w:val="Compact"/>
            </w:pPr>
            <w:r>
              <w:t xml:space="preserve">25</w:t>
            </w:r>
          </w:p>
        </w:tc>
        <w:tc>
          <w:tcPr/>
          <w:p>
            <w:pPr>
              <w:pStyle w:val="Compact"/>
            </w:pPr>
            <w:r>
              <w:t xml:space="preserve">The men of Israel describe the promised reward: wealth, the king’s daughter, and freedom for his family</w:t>
            </w:r>
          </w:p>
        </w:tc>
        <w:tc>
          <w:tcPr/>
          <w:p>
            <w:pPr>
              <w:pStyle w:val="Compact"/>
            </w:pPr>
            <w:r>
              <w:t xml:space="preserve">The reward structure reveals what Israel’s thinking is — the problem can be solved by incentive, not by faith</w:t>
            </w:r>
          </w:p>
        </w:tc>
      </w:tr>
      <w:tr>
        <w:tc>
          <w:tcPr/>
          <w:p>
            <w:pPr>
              <w:pStyle w:val="Compact"/>
            </w:pPr>
            <w:r>
              <w:t xml:space="preserve">26</w:t>
            </w:r>
          </w:p>
        </w:tc>
        <w:tc>
          <w:tcPr/>
          <w:p>
            <w:pPr>
              <w:pStyle w:val="Compact"/>
            </w:pPr>
            <w:r>
              <w:t xml:space="preserve">David asks:</w:t>
            </w:r>
            <w:r>
              <w:t xml:space="preserve"> </w:t>
            </w:r>
            <w:r>
              <w:t xml:space="preserve">“What shall be done for the man who kills this Philistine and takes away the reproach from Israel? For who is this uncircumcised Philistine, that he should defy the armies of the living God?”</w:t>
            </w:r>
          </w:p>
        </w:tc>
        <w:tc>
          <w:tcPr/>
          <w:p>
            <w:pPr>
              <w:pStyle w:val="Compact"/>
            </w:pPr>
            <w:r>
              <w:t xml:space="preserve">The decisive moment of reframing: David identifies the theological offense — not the military threat but the defiance of the living God; this is the first signal that David is operating from a completely different framework</w:t>
            </w:r>
          </w:p>
        </w:tc>
      </w:tr>
      <w:tr>
        <w:tc>
          <w:tcPr/>
          <w:p>
            <w:pPr>
              <w:pStyle w:val="Compact"/>
            </w:pPr>
            <w:r>
              <w:t xml:space="preserve">27–30</w:t>
            </w:r>
          </w:p>
        </w:tc>
        <w:tc>
          <w:tcPr/>
          <w:p>
            <w:pPr>
              <w:pStyle w:val="Compact"/>
            </w:pPr>
            <w:r>
              <w:t xml:space="preserve">David’s oldest brother Eliab rebukes him; David deflects and continues asking others</w:t>
            </w:r>
          </w:p>
        </w:tc>
        <w:tc>
          <w:tcPr/>
          <w:p>
            <w:pPr>
              <w:pStyle w:val="Compact"/>
            </w:pPr>
            <w:r>
              <w:t xml:space="preserve">Eliab’s anger (</w:t>
            </w:r>
            <w:r>
              <w:t xml:space="preserve">“I know your presumption and the evil of your heart”</w:t>
            </w:r>
            <w:r>
              <w:t xml:space="preserve">) mirrors the world’s dismissal of what God is about to do through the weak</w:t>
            </w:r>
          </w:p>
        </w:tc>
      </w:tr>
      <w:tr>
        <w:tc>
          <w:tcPr/>
          <w:p>
            <w:pPr>
              <w:pStyle w:val="Compact"/>
            </w:pPr>
            <w:r>
              <w:t xml:space="preserve">31–37</w:t>
            </w:r>
          </w:p>
        </w:tc>
        <w:tc>
          <w:tcPr/>
          <w:p>
            <w:pPr>
              <w:pStyle w:val="Compact"/>
            </w:pPr>
            <w:r>
              <w:t xml:space="preserve">David’s conversation with Saul: Saul raises the objection (youth, inexperience); David answers with the track record of the LORD’s deliverance — lion and bear;</w:t>
            </w:r>
            <w:r>
              <w:t xml:space="preserve"> </w:t>
            </w:r>
            <w:r>
              <w:t xml:space="preserve">“The LORD who delivered me from the paw of the lion and from the paw of the bear will deliver me from the hand of this Philistine”</w:t>
            </w:r>
          </w:p>
        </w:tc>
        <w:tc>
          <w:tcPr/>
          <w:p>
            <w:pPr>
              <w:pStyle w:val="Compact"/>
            </w:pPr>
            <w:r>
              <w:t xml:space="preserve">This is the theological center of David’s confidence: not self-belief but covenant memory; past deliverances are the warrant for present confidence; Saul finally relents</w:t>
            </w:r>
          </w:p>
        </w:tc>
      </w:tr>
      <w:tr>
        <w:tc>
          <w:tcPr/>
          <w:p>
            <w:pPr>
              <w:pStyle w:val="Compact"/>
            </w:pPr>
            <w:r>
              <w:t xml:space="preserve">38–39</w:t>
            </w:r>
          </w:p>
        </w:tc>
        <w:tc>
          <w:tcPr/>
          <w:p>
            <w:pPr>
              <w:pStyle w:val="Compact"/>
            </w:pPr>
            <w:r>
              <w:t xml:space="preserve">Saul armors David with his own equipment; David tries it and cannot walk in it; he removes it</w:t>
            </w:r>
          </w:p>
        </w:tc>
        <w:tc>
          <w:tcPr/>
          <w:p>
            <w:pPr>
              <w:pStyle w:val="Compact"/>
            </w:pPr>
            <w:r>
              <w:t xml:space="preserve">One of the most theologically loaded vignettes in the chapter: the world’s answer (Saul’s armor) is tried and found inadequate; David must go as he is — the shepherd with a sling</w:t>
            </w:r>
          </w:p>
        </w:tc>
      </w:tr>
      <w:tr>
        <w:tc>
          <w:tcPr/>
          <w:p>
            <w:pPr>
              <w:pStyle w:val="Compact"/>
            </w:pPr>
            <w:r>
              <w:t xml:space="preserve">40</w:t>
            </w:r>
          </w:p>
        </w:tc>
        <w:tc>
          <w:tcPr/>
          <w:p>
            <w:pPr>
              <w:pStyle w:val="Compact"/>
            </w:pPr>
            <w:r>
              <w:t xml:space="preserve">David takes five smooth stones from the brook and his sling and approaches Goliath</w:t>
            </w:r>
          </w:p>
        </w:tc>
        <w:tc>
          <w:tcPr/>
          <w:p>
            <w:pPr>
              <w:pStyle w:val="Compact"/>
            </w:pPr>
            <w:r>
              <w:t xml:space="preserve">Five stones is often over-analyzed; the sling is the significant detail — a shepherd’s tool, not a warrior’s weapon</w:t>
            </w:r>
          </w:p>
        </w:tc>
      </w:tr>
      <w:tr>
        <w:tc>
          <w:tcPr/>
          <w:p>
            <w:pPr>
              <w:pStyle w:val="Compact"/>
            </w:pPr>
            <w:r>
              <w:t xml:space="preserve">41–44</w:t>
            </w:r>
          </w:p>
        </w:tc>
        <w:tc>
          <w:tcPr/>
          <w:p>
            <w:pPr>
              <w:pStyle w:val="Compact"/>
            </w:pPr>
            <w:r>
              <w:t xml:space="preserve">Goliath approaches with his shield-bearer; sees David; despises him; curses him by his gods; issues his final taunt</w:t>
            </w:r>
          </w:p>
        </w:tc>
        <w:tc>
          <w:tcPr/>
          <w:p>
            <w:pPr>
              <w:pStyle w:val="Compact"/>
            </w:pPr>
            <w:r>
              <w:t xml:space="preserve">Goliath’s contempt is the world’s final assessment of inadequate resources; his curse by his gods sets up the theological confrontation of v. 45</w:t>
            </w:r>
          </w:p>
        </w:tc>
      </w:tr>
      <w:tr>
        <w:tc>
          <w:tcPr/>
          <w:p>
            <w:pPr>
              <w:pStyle w:val="Compact"/>
            </w:pPr>
            <w:r>
              <w:t xml:space="preserve">45–47</w:t>
            </w:r>
          </w:p>
        </w:tc>
        <w:tc>
          <w:tcPr/>
          <w:p>
            <w:pPr>
              <w:pStyle w:val="Compact"/>
            </w:pPr>
            <w:r>
              <w:t xml:space="preserve">David’s climactic speech:</w:t>
            </w:r>
            <w:r>
              <w:t xml:space="preserve"> </w:t>
            </w:r>
            <w:r>
              <w:t xml:space="preserve">“You come to me with sword and spear and javelin, but I come to you in the name of the LORD of hosts… the battle is the LORD’s, and he will give you into our hand”</w:t>
            </w:r>
          </w:p>
        </w:tc>
        <w:tc>
          <w:tcPr/>
          <w:p>
            <w:pPr>
              <w:pStyle w:val="Compact"/>
            </w:pPr>
            <w:r>
              <w:t xml:space="preserve">This is the interpretive key to the entire chapter; David does not claim personal confidence — he claims covenantal confidence; the purpose of the victory is explicitly stated:</w:t>
            </w:r>
            <w:r>
              <w:t xml:space="preserve"> </w:t>
            </w:r>
            <w:r>
              <w:t xml:space="preserve">“that all the earth may know that there is a God in Israel”</w:t>
            </w:r>
            <w:r>
              <w:t xml:space="preserve"> </w:t>
            </w:r>
            <w:r>
              <w:t xml:space="preserve">and</w:t>
            </w:r>
            <w:r>
              <w:t xml:space="preserve"> </w:t>
            </w:r>
            <w:r>
              <w:t xml:space="preserve">“that the LORD saves not with sword and spear”</w:t>
            </w:r>
          </w:p>
        </w:tc>
      </w:tr>
      <w:tr>
        <w:tc>
          <w:tcPr/>
          <w:p>
            <w:pPr>
              <w:pStyle w:val="Compact"/>
            </w:pPr>
            <w:r>
              <w:t xml:space="preserve">48–51a</w:t>
            </w:r>
          </w:p>
        </w:tc>
        <w:tc>
          <w:tcPr/>
          <w:p>
            <w:pPr>
              <w:pStyle w:val="Compact"/>
            </w:pPr>
            <w:r>
              <w:t xml:space="preserve">The battle: David runs, slings one stone, strikes Goliath in the forehead, Goliath falls; David takes Goliath’s own sword and kills him with it</w:t>
            </w:r>
          </w:p>
        </w:tc>
        <w:tc>
          <w:tcPr/>
          <w:p>
            <w:pPr>
              <w:pStyle w:val="Compact"/>
            </w:pPr>
            <w:r>
              <w:t xml:space="preserve">The speed of the narrative here contrasts with its earlier slowness — the actual combat is dispatched in four verses; the setup was the theological point, not the technique</w:t>
            </w:r>
          </w:p>
        </w:tc>
      </w:tr>
      <w:tr>
        <w:tc>
          <w:tcPr/>
          <w:p>
            <w:pPr>
              <w:pStyle w:val="Compact"/>
            </w:pPr>
            <w:r>
              <w:t xml:space="preserve">51b–54</w:t>
            </w:r>
          </w:p>
        </w:tc>
        <w:tc>
          <w:tcPr/>
          <w:p>
            <w:pPr>
              <w:pStyle w:val="Compact"/>
            </w:pPr>
            <w:r>
              <w:t xml:space="preserve">The Philistines flee; Israel and Judah pursue and plunder the camp; David takes Goliath’s head to Jerusalem, keeps his armor</w:t>
            </w:r>
          </w:p>
        </w:tc>
        <w:tc>
          <w:tcPr/>
          <w:p>
            <w:pPr>
              <w:pStyle w:val="Compact"/>
            </w:pPr>
            <w:r>
              <w:t xml:space="preserve">The victory’s effect radiates outward — the armies, the nations, the land — exactly as David declared it would</w:t>
            </w:r>
          </w:p>
        </w:tc>
      </w:tr>
      <w:tr>
        <w:tc>
          <w:tcPr/>
          <w:p>
            <w:pPr>
              <w:pStyle w:val="Compact"/>
            </w:pPr>
            <w:r>
              <w:t xml:space="preserve">55–58</w:t>
            </w:r>
          </w:p>
        </w:tc>
        <w:tc>
          <w:tcPr/>
          <w:p>
            <w:pPr>
              <w:pStyle w:val="Compact"/>
            </w:pPr>
            <w:r>
              <w:t xml:space="preserve">Saul questions Abner about David’s identity; the chapter ends with Saul asking David directly</w:t>
            </w:r>
            <w:r>
              <w:t xml:space="preserve"> </w:t>
            </w:r>
            <w:r>
              <w:t xml:space="preserve">“Whose son are you?”</w:t>
            </w:r>
          </w:p>
        </w:tc>
        <w:tc>
          <w:tcPr/>
          <w:p>
            <w:pPr>
              <w:pStyle w:val="Compact"/>
            </w:pPr>
            <w:r>
              <w:t xml:space="preserve">The chapter ends on an identity question — not</w:t>
            </w:r>
            <w:r>
              <w:t xml:space="preserve"> </w:t>
            </w:r>
            <w:r>
              <w:t xml:space="preserve">“how did you win?”</w:t>
            </w:r>
            <w:r>
              <w:t xml:space="preserve"> </w:t>
            </w:r>
            <w:r>
              <w:t xml:space="preserve">but</w:t>
            </w:r>
            <w:r>
              <w:t xml:space="preserve"> </w:t>
            </w:r>
            <w:r>
              <w:t xml:space="preserve">“who are you?”</w:t>
            </w:r>
            <w:r>
              <w:t xml:space="preserve"> </w:t>
            </w:r>
            <w:r>
              <w:t xml:space="preserve">— anticipating the larger narrative arc of David’s rise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Defiant Champion and the Paralyzed Army</w:t>
            </w:r>
          </w:p>
        </w:tc>
      </w:tr>
      <w:tr>
        <w:tc>
          <w:tcPr/>
          <w:p>
            <w:pPr>
              <w:pStyle w:val="Compact"/>
            </w:pPr>
            <w:r>
              <w:t xml:space="preserve">2</w:t>
            </w:r>
          </w:p>
        </w:tc>
        <w:tc>
          <w:tcPr/>
          <w:p>
            <w:pPr>
              <w:pStyle w:val="Compact"/>
            </w:pPr>
            <w:r>
              <w:t xml:space="preserve">12–30</w:t>
            </w:r>
          </w:p>
        </w:tc>
        <w:tc>
          <w:tcPr/>
          <w:p>
            <w:pPr>
              <w:pStyle w:val="Compact"/>
            </w:pPr>
            <w:r>
              <w:t xml:space="preserve">The Unlikely Arrival and the Theological Reframe</w:t>
            </w:r>
          </w:p>
        </w:tc>
      </w:tr>
      <w:tr>
        <w:tc>
          <w:tcPr/>
          <w:p>
            <w:pPr>
              <w:pStyle w:val="Compact"/>
            </w:pPr>
            <w:r>
              <w:t xml:space="preserve">3</w:t>
            </w:r>
          </w:p>
        </w:tc>
        <w:tc>
          <w:tcPr/>
          <w:p>
            <w:pPr>
              <w:pStyle w:val="Compact"/>
            </w:pPr>
            <w:r>
              <w:t xml:space="preserve">31–40</w:t>
            </w:r>
          </w:p>
        </w:tc>
        <w:tc>
          <w:tcPr/>
          <w:p>
            <w:pPr>
              <w:pStyle w:val="Compact"/>
            </w:pPr>
            <w:r>
              <w:t xml:space="preserve">The World’s Answer Tried and Found Inadequate</w:t>
            </w:r>
          </w:p>
        </w:tc>
      </w:tr>
      <w:tr>
        <w:tc>
          <w:tcPr/>
          <w:p>
            <w:pPr>
              <w:pStyle w:val="Compact"/>
            </w:pPr>
            <w:r>
              <w:t xml:space="preserve">4</w:t>
            </w:r>
          </w:p>
        </w:tc>
        <w:tc>
          <w:tcPr/>
          <w:p>
            <w:pPr>
              <w:pStyle w:val="Compact"/>
            </w:pPr>
            <w:r>
              <w:t xml:space="preserve">41–51</w:t>
            </w:r>
          </w:p>
        </w:tc>
        <w:tc>
          <w:tcPr/>
          <w:p>
            <w:pPr>
              <w:pStyle w:val="Compact"/>
            </w:pPr>
            <w:r>
              <w:t xml:space="preserve">The Battle Declared and Won in the Name of the LORD of Hosts</w:t>
            </w:r>
          </w:p>
        </w:tc>
      </w:tr>
      <w:tr>
        <w:tc>
          <w:tcPr/>
          <w:p>
            <w:pPr>
              <w:pStyle w:val="Compact"/>
            </w:pPr>
            <w:r>
              <w:t xml:space="preserve">5</w:t>
            </w:r>
          </w:p>
        </w:tc>
        <w:tc>
          <w:tcPr/>
          <w:p>
            <w:pPr>
              <w:pStyle w:val="Compact"/>
            </w:pPr>
            <w:r>
              <w:t xml:space="preserve">52–58</w:t>
            </w:r>
          </w:p>
        </w:tc>
        <w:tc>
          <w:tcPr/>
          <w:p>
            <w:pPr>
              <w:pStyle w:val="Compact"/>
            </w:pPr>
            <w:r>
              <w:t xml:space="preserve">The Victory and Its Aftermath:</w:t>
            </w:r>
            <w:r>
              <w:t xml:space="preserve"> </w:t>
            </w:r>
            <w:r>
              <w:t xml:space="preserve">“Whose Son Are You?”</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of hosts defeats the defiant enemy through the weak instrument who knows Him — for the display of His own glory.</w:t>
      </w:r>
    </w:p>
    <w:p>
      <w:pPr>
        <w:pStyle w:val="BodyText"/>
      </w:pPr>
      <w:r>
        <w:rPr>
          <w:b/>
          <w:bCs/>
        </w:rPr>
        <w:t xml:space="preserve">Primary Claim:</w:t>
      </w:r>
      <w:r>
        <w:t xml:space="preserve"> </w:t>
      </w:r>
      <w:r>
        <w:t xml:space="preserve">God is calling His people to abandon the fear-calculus of visible strength and to stand in covenantal confidence before every Goliath — because the LORD of hosts has already declared the outcome, and the battle belongs to Him, not to us.</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Reframe what counts as adequate resources.</w:t>
      </w:r>
      <w:r>
        <w:t xml:space="preserve"> </w:t>
      </w:r>
      <w:r>
        <w:rPr>
          <w:i/>
          <w:iCs/>
        </w:rPr>
        <w:t xml:space="preserve">(Mind/Belief)</w:t>
      </w:r>
      <w:r>
        <w:t xml:space="preserve"> </w:t>
      </w:r>
      <w:r>
        <w:t xml:space="preserve">David did not go to the battle lacking resources — he went with the only resource that was actually sufficient: the name of the LORD of hosts. The instinct to say</w:t>
      </w:r>
      <w:r>
        <w:t xml:space="preserve"> </w:t>
      </w:r>
      <w:r>
        <w:t xml:space="preserve">“I cannot face this because I do not have enough”</w:t>
      </w:r>
      <w:r>
        <w:t xml:space="preserve"> </w:t>
      </w:r>
      <w:r>
        <w:t xml:space="preserve">is Saul’s calculus, not David’s. This passage calls the believer to audit their definition of</w:t>
      </w:r>
      <w:r>
        <w:t xml:space="preserve"> </w:t>
      </w:r>
      <w:r>
        <w:t xml:space="preserve">“enough”</w:t>
      </w:r>
      <w:r>
        <w:t xml:space="preserve"> </w:t>
      </w:r>
      <w:r>
        <w:t xml:space="preserve">and to discover that the decisive resource in every confrontation is not what they bring but who they represent. Where you are currently counting assets and concluding that you are underequipped, ask instead: what has the LORD of hosts already declared about this situation, and is that declaration not sufficient?</w:t>
      </w:r>
    </w:p>
    <w:p>
      <w:pPr>
        <w:pStyle w:val="BodyText"/>
      </w:pPr>
      <w:r>
        <w:rPr>
          <w:b/>
          <w:bCs/>
        </w:rPr>
        <w:t xml:space="preserve">2. Let the track record of God’s past faithfulness generate present courage.</w:t>
      </w:r>
      <w:r>
        <w:t xml:space="preserve"> </w:t>
      </w:r>
      <w:r>
        <w:rPr>
          <w:i/>
          <w:iCs/>
        </w:rPr>
        <w:t xml:space="preserve">(Mind/Belief)</w:t>
      </w:r>
      <w:r>
        <w:t xml:space="preserve"> </w:t>
      </w:r>
      <w:r>
        <w:t xml:space="preserve">David’s confidence in verses 34–37 is not bravado — it is covenant memory. He recites the lion, he recites the bear, and from those specific deliverances he draws the specific confidence that the LORD will deliver him again. This is not a generalized</w:t>
      </w:r>
      <w:r>
        <w:t xml:space="preserve"> </w:t>
      </w:r>
      <w:r>
        <w:t xml:space="preserve">“God is good”</w:t>
      </w:r>
      <w:r>
        <w:t xml:space="preserve"> </w:t>
      </w:r>
      <w:r>
        <w:t xml:space="preserve">sentiment; it is a disciplined practice of remembering particular acts of God in order to stand in particular present crises. The application is concrete: identify the specific deliverances the LORD has worked in your own history, name them the way David named the lion and the bear, and let them serve as the warrant for confidence in what you are facing now.</w:t>
      </w:r>
    </w:p>
    <w:p>
      <w:pPr>
        <w:pStyle w:val="BodyText"/>
      </w:pPr>
      <w:r>
        <w:rPr>
          <w:b/>
          <w:bCs/>
        </w:rPr>
        <w:t xml:space="preserve">3. Grieve — and repent of — the fear that reduces God to a spectator.</w:t>
      </w:r>
      <w:r>
        <w:t xml:space="preserve"> </w:t>
      </w:r>
      <w:r>
        <w:rPr>
          <w:i/>
          <w:iCs/>
        </w:rPr>
        <w:t xml:space="preserve">(Affections/Worship)</w:t>
      </w:r>
      <w:r>
        <w:t xml:space="preserve"> </w:t>
      </w:r>
      <w:r>
        <w:t xml:space="preserve">Saul and Israel were not atheists. They believed in the LORD. But when Goliath appeared, their functional operating system ran entirely on visible military assessment: Goliath is big; we are outmatched; we will lose. The LORD of hosts was, in practice, not a factor in their calculation. This is the idolatry the passage exposes — not the crude idolatry of worshiping a statue but the practical idolatry of making visible strength the real sovereign. Honest application here produces grief: where have I believed in God in theory while living in fear in practice? Where has my functional operating system excluded Him from the actual calculus? This is not a minor failure to be briskly corrected — it is a form of practical atheism that warrants genuine repentance.</w:t>
      </w:r>
    </w:p>
    <w:p>
      <w:pPr>
        <w:pStyle w:val="BodyText"/>
      </w:pPr>
      <w:r>
        <w:rPr>
          <w:b/>
          <w:bCs/>
        </w:rPr>
        <w:t xml:space="preserve">4. Recognize that God often strips away the world’s answer before He provides His own.</w:t>
      </w:r>
      <w:r>
        <w:t xml:space="preserve"> </w:t>
      </w:r>
      <w:r>
        <w:rPr>
          <w:i/>
          <w:iCs/>
        </w:rPr>
        <w:t xml:space="preserve">(Affections/Worship)</w:t>
      </w:r>
      <w:r>
        <w:t xml:space="preserve"> </w:t>
      </w:r>
      <w:r>
        <w:t xml:space="preserve">The Saul’s-armor vignette (vv. 38–39) is not comic relief — it is theology in narrative form. David tried the world’s solution and found it didn’t fit. The stripping of the armor was not a failure; it was preparation. God regularly removes the apparently adequate resources — the plan that seemed workable, the relationship that seemed to provide security, the strategy that seemed sound — before He works through means that display His own strength. Where God seems to be taking away rather than providing, the question to ask is not</w:t>
      </w:r>
      <w:r>
        <w:t xml:space="preserve"> </w:t>
      </w:r>
      <w:r>
        <w:t xml:space="preserve">“why is this happening?”</w:t>
      </w:r>
      <w:r>
        <w:t xml:space="preserve"> </w:t>
      </w:r>
      <w:r>
        <w:t xml:space="preserve">but</w:t>
      </w:r>
      <w:r>
        <w:t xml:space="preserve"> </w:t>
      </w:r>
      <w:r>
        <w:t xml:space="preserve">“what is He clearing away so that His own name can be known?”</w:t>
      </w:r>
    </w:p>
    <w:p>
      <w:pPr>
        <w:pStyle w:val="BodyText"/>
      </w:pPr>
      <w:r>
        <w:rPr>
          <w:b/>
          <w:bCs/>
        </w:rPr>
        <w:t xml:space="preserve">5. Act in the situations where the LORD has put you, trusting that the battle’s outcome is His to secure.</w:t>
      </w:r>
      <w:r>
        <w:t xml:space="preserve"> </w:t>
      </w:r>
      <w:r>
        <w:rPr>
          <w:i/>
          <w:iCs/>
        </w:rPr>
        <w:t xml:space="preserve">(Will/Behavior)</w:t>
      </w:r>
      <w:r>
        <w:t xml:space="preserve"> </w:t>
      </w:r>
      <w:r>
        <w:t xml:space="preserve">David did not wait for better conditions, more preparation, or official authorization. He had the knowledge of the LORD, he had the track record of the LORD’s faithfulness, and he had the immediate situation before him — and that was enough to act. The call of this passage is not to reckless charge but to obedient movement: the situations where God has placed you, including the ones that look unwinnable, are the ones where He has called you to go in His name. Name the specific confrontation, opposition, or impossible situation before you. Go into it in the name of the LORD of hosts — not because the odds are favorable but because the declaration of verses 45–47 has been made, and it has not been revoked.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First Samuel 17 is one of Scripture’s most concentrated displays of the LORD’s character as the God who works through weakness for the sake of His own glory. The passage teaches that God is not merely willing to help the underequipped — He deliberately chooses to work through inadequate human instruments so that no human agent can claim the credit for the outcome. David’s speech in verses 45–47 states the theology explicitly: the battle belongs to the LORD, and its purpose is that</w:t>
      </w:r>
      <w:r>
        <w:t xml:space="preserve"> </w:t>
      </w:r>
      <w:r>
        <w:t xml:space="preserve">“all the earth may know that there is a God in Israel.”</w:t>
      </w:r>
      <w:r>
        <w:t xml:space="preserve"> </w:t>
      </w:r>
      <w:r>
        <w:t xml:space="preserve">This is not incidental to the story; it is the story’s announced interpretive key. The passage also displays the LORD as a covenant-keeping God whose past faithfulness generates present confidence — the lion and the bear are not David’s testimony to his own survival skills but to the LORD’s track record of intervention on behalf of His servant. And the chapter demonstrates that the LORD’s saving power is categorically different from the world’s:</w:t>
      </w:r>
      <w:r>
        <w:t xml:space="preserve"> </w:t>
      </w:r>
      <w:r>
        <w:t xml:space="preserve">“the LORD saves not with sword and spear”</w:t>
      </w:r>
      <w:r>
        <w:t xml:space="preserve"> </w:t>
      </w:r>
      <w:r>
        <w:t xml:space="preserve">— a principle that runs from this valley through the cross and will culminate in the final defeat of every enemy.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First Samuel 17 functions within Reformed theology as a narrative embodiment of the principle Paul will articulate in 1 Corinthians 1: God has chosen the foolish things of the world to shame the wise, and the weak things to shame the strong, so that no flesh may boast before Him. The Reformed insistence on sola gratia and soli Deo gloria is not merely an abstract doctrinal commitment — it is a pattern woven into the fabric of redemptive history, and 1 Samuel 17 is one of its clearest narrative instantiations. The chapter also anticipates the typological logic of the gospel: an anointed servant enters a battle his people cannot fight, defeats the champion of the enemy through means the world would not recognize as adequate, and the victory is credited to those who stand behind him — not because they earned it but because he is their representative. This is the logic of imputation, enacted in narrative before it is articulated in doctrine. Reformed exposition of this passage should resist both the moralistic reduction (which turns the gospel pattern into a self-improvement program) and the typological flattening (which removes the call to faith-filled action) — holding together the Christ who has won the representative battle and the Spirit-empowered people who now go in His name into every confrontation that remains.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battle you are standing before is not primarily yours to win — it is the LORD’s to win through you. David did not go to the valley with superior strength; he went with a Name, a track record, and a declaration:</w:t>
      </w:r>
      <w:r>
        <w:t xml:space="preserve"> </w:t>
      </w:r>
      <w:r>
        <w:t xml:space="preserve">“The battle is the LORD’s.”</w:t>
      </w:r>
      <w:r>
        <w:t xml:space="preserve"> </w:t>
      </w:r>
      <w:r>
        <w:t xml:space="preserve">The outcome of every opposition you face has already been declared by the One who has already defeated the ultimate enemy. You are not being called to muster more courage — you are being called to live like someone who knows who the LORD of hosts actually is.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The</w:t>
      </w:r>
      <w:r>
        <w:rPr>
          <w:b/>
          <w:bCs/>
        </w:rPr>
        <w:t xml:space="preserve"> </w:t>
      </w:r>
      <w:r>
        <w:rPr>
          <w:b/>
          <w:bCs/>
        </w:rPr>
        <w:t xml:space="preserve">“Face Your Giants”</w:t>
      </w:r>
      <w:r>
        <w:rPr>
          <w:b/>
          <w:bCs/>
        </w:rPr>
        <w:t xml:space="preserve"> </w:t>
      </w:r>
      <w:r>
        <w:rPr>
          <w:b/>
          <w:bCs/>
        </w:rPr>
        <w:t xml:space="preserve">reduction.</w:t>
      </w:r>
      <w:r>
        <w:t xml:space="preserve"> </w:t>
      </w:r>
      <w:r>
        <w:t xml:space="preserve">This is the single most common mishandling of 1 Samuel 17, and it produces a sermon that is functionally indistinguishable from a motivational speech. The passage is not about David’s courage generating the outcome — it is about the LORD’s character generating David’s courage and then the outcome. A sermon that sends people away with</w:t>
      </w:r>
      <w:r>
        <w:t xml:space="preserve"> </w:t>
      </w:r>
      <w:r>
        <w:t xml:space="preserve">“go face your Goliath”</w:t>
      </w:r>
      <w:r>
        <w:t xml:space="preserve"> </w:t>
      </w:r>
      <w:r>
        <w:t xml:space="preserve">has not preached this text; it has preached a self-help article with biblical decoration. The corrective: center the sermon on David’s speech (vv. 45–47), not on David’s advance (v. 48). The theology must control the application.</w:t>
      </w:r>
    </w:p>
    <w:p>
      <w:pPr>
        <w:numPr>
          <w:ilvl w:val="0"/>
          <w:numId w:val="1002"/>
        </w:numPr>
      </w:pPr>
      <w:r>
        <w:rPr>
          <w:b/>
          <w:bCs/>
        </w:rPr>
        <w:t xml:space="preserve">Treating David’s five stones as the sermon’s center.</w:t>
      </w:r>
      <w:r>
        <w:t xml:space="preserve"> </w:t>
      </w:r>
      <w:r>
        <w:t xml:space="preserve">A recurring popular treatment of this passage builds an extended metaphor around the five smooth stones — five spiritual disciplines, five qualities of faith, five things David brought to the battle. The text gives no interpretive warrant for this elaboration. The stone is incidental to the passage’s claim; the Name is not. Over-developing the stones produces a framework that is clever but unmoored from the text’s actual argument.</w:t>
      </w:r>
    </w:p>
    <w:p>
      <w:pPr>
        <w:numPr>
          <w:ilvl w:val="0"/>
          <w:numId w:val="1002"/>
        </w:numPr>
      </w:pPr>
      <w:r>
        <w:rPr>
          <w:b/>
          <w:bCs/>
        </w:rPr>
        <w:t xml:space="preserve">Skipping the typological dimension.</w:t>
      </w:r>
      <w:r>
        <w:t xml:space="preserve"> </w:t>
      </w:r>
      <w:r>
        <w:t xml:space="preserve">A sermon that applies this passage only at the level of human example and never arrives at Christ has preached the type without the antitype. David’s representative role — one man who wins the battle his people cannot win, whose victory becomes theirs — is too important to leave unstated. The congregation should see that David’s victory is a shadow of a greater victory, and that the confidence they are being called to is grounded not only in the LORD’s past faithfulness in general but in Christ’s specific and final defeat of sin, death, and the accuser.</w:t>
      </w:r>
    </w:p>
    <w:p>
      <w:pPr>
        <w:numPr>
          <w:ilvl w:val="0"/>
          <w:numId w:val="1002"/>
        </w:numPr>
      </w:pPr>
      <w:r>
        <w:rPr>
          <w:b/>
          <w:bCs/>
        </w:rPr>
        <w:t xml:space="preserve">Neglecting Saul’s armor as a theological vignette.</w:t>
      </w:r>
      <w:r>
        <w:t xml:space="preserve"> </w:t>
      </w:r>
      <w:r>
        <w:t xml:space="preserve">Preachers often treat verses 38–39 as narrative texture or light relief. In fact, it is one of the theologically richest moments in the chapter: the world’s answer is tried, found inadequate, and deliberately set aside before the LORD works. Congregations who are currently trying Saul’s armor — relying on the world’s solutions for problems only the LORD can resolve — need this vignette preached specifically, not skipped.</w:t>
      </w:r>
    </w:p>
    <w:p>
      <w:pPr>
        <w:numPr>
          <w:ilvl w:val="0"/>
          <w:numId w:val="1002"/>
        </w:numPr>
      </w:pPr>
      <w:r>
        <w:rPr>
          <w:b/>
          <w:bCs/>
        </w:rPr>
        <w:t xml:space="preserve">Missing the corporate dimension of David’s speech.</w:t>
      </w:r>
      <w:r>
        <w:t xml:space="preserve"> </w:t>
      </w:r>
      <w:r>
        <w:t xml:space="preserve">David says</w:t>
      </w:r>
      <w:r>
        <w:t xml:space="preserve"> </w:t>
      </w:r>
      <w:r>
        <w:t xml:space="preserve">“the battle is the LORD’s and he will give you into our hand”</w:t>
      </w:r>
      <w:r>
        <w:t xml:space="preserve"> </w:t>
      </w:r>
      <w:r>
        <w:t xml:space="preserve">— not</w:t>
      </w:r>
      <w:r>
        <w:t xml:space="preserve"> </w:t>
      </w:r>
      <w:r>
        <w:t xml:space="preserve">“my hand.”</w:t>
      </w:r>
      <w:r>
        <w:t xml:space="preserve"> </w:t>
      </w:r>
      <w:r>
        <w:t xml:space="preserve">The victory is for Israel, not just for David. The representative logic is built into David’s own language. A purely individualistic application (</w:t>
      </w:r>
      <w:r>
        <w:t xml:space="preserve">“your personal giants”</w:t>
      </w:r>
      <w:r>
        <w:t xml:space="preserve">) misses the corporate ecclesial dimension: the LORD of hosts fights on behalf of His people as a people, and the church’s confrontations with opposition are not merely private spiritual experiences.</w:t>
      </w:r>
    </w:p>
    <w:p>
      <w:pPr>
        <w:numPr>
          <w:ilvl w:val="0"/>
          <w:numId w:val="1002"/>
        </w:numPr>
      </w:pPr>
      <w:r>
        <w:rPr>
          <w:b/>
          <w:bCs/>
        </w:rPr>
        <w:t xml:space="preserve">Treating Eliab’s rebuke as a minor obstacle.</w:t>
      </w:r>
      <w:r>
        <w:t xml:space="preserve"> </w:t>
      </w:r>
      <w:r>
        <w:t xml:space="preserve">Eliab’s anger (v. 28) represents something important: the internal resistance that greets the person who is operating from a different theological framework than the crowd. Every congregation contains people who, when someone else begins to act in covenantal confidence, respond with Eliab’s cynicism:</w:t>
      </w:r>
      <w:r>
        <w:t xml:space="preserve"> </w:t>
      </w:r>
      <w:r>
        <w:t xml:space="preserve">“I know your pride, your presumption, the evil of your heart.”</w:t>
      </w:r>
      <w:r>
        <w:t xml:space="preserve"> </w:t>
      </w:r>
      <w:r>
        <w:t xml:space="preserve">David’s response — he turns away and continues asking — is itself a model. Preachers who skip Eliab miss the opportunity to name the social and relational cost of refusing the fear-calculus.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2026-07-14T21:02:38Z</dcterms:created>
  <dcterms:modified xsi:type="dcterms:W3CDTF">2026-07-14T21:02:38Z</dcterms:modified>
</cp:coreProperties>
</file>

<file path=docProps/custom.xml><?xml version="1.0" encoding="utf-8"?>
<Properties xmlns="http://schemas.openxmlformats.org/officeDocument/2006/custom-properties" xmlns:vt="http://schemas.openxmlformats.org/officeDocument/2006/docPropsVTypes"/>
</file>